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bookmarkStart w:id="0" w:name="_GoBack"/>
      <w:bookmarkEnd w:id="0"/>
      <w:r>
        <w:rPr>
          <w:rFonts w:hint="eastAsia"/>
        </w:rPr>
        <w:t>2024年高校“大思政课”实践教学基地</w:t>
      </w:r>
    </w:p>
    <w:p>
      <w:pPr>
        <w:pStyle w:val="3"/>
      </w:pPr>
      <w:r>
        <w:rPr>
          <w:rFonts w:hint="eastAsia"/>
        </w:rPr>
        <w:t>项目申报指南</w:t>
      </w:r>
    </w:p>
    <w:p>
      <w:pPr>
        <w:ind w:firstLine="632"/>
      </w:pPr>
    </w:p>
    <w:p>
      <w:pPr>
        <w:pStyle w:val="2"/>
        <w:ind w:firstLine="632"/>
      </w:pPr>
      <w:r>
        <w:rPr>
          <w:rFonts w:hint="eastAsia"/>
        </w:rPr>
        <w:t>一、项目建设目标</w:t>
      </w:r>
    </w:p>
    <w:p>
      <w:pPr>
        <w:ind w:firstLine="632"/>
      </w:pPr>
      <w:r>
        <w:rPr>
          <w:rFonts w:hint="eastAsia"/>
        </w:rPr>
        <w:t>以习近平新时代中国特色社会主义思想为指导，深入贯彻落实习近平总书记关于“大思政课”的重要指示批示和在中国人民大学考察时的重要讲话精神，贯彻落实中共中央办公厅、国务院办公厅《关于深化新时代学校思想政治理论课改革创新的若干意见》《教育部等十部门关于印发〈全面推进 “大思政课”建设的工作方案〉的通知》（教社科〔2022〕3 号）《国家文物局办公室、教育部办公厅关于开展以革命文物为主题的“大思政课”优质资源建设推广工作的通知》（办革函〔2</w:t>
      </w:r>
      <w:r>
        <w:t>023</w:t>
      </w:r>
      <w:r>
        <w:rPr>
          <w:rFonts w:hint="eastAsia"/>
        </w:rPr>
        <w:t>〕2</w:t>
      </w:r>
      <w:r>
        <w:t>95</w:t>
      </w:r>
      <w:r>
        <w:rPr>
          <w:rFonts w:hint="eastAsia"/>
        </w:rPr>
        <w:t>号）精神，充分调动全社会力量和资源</w:t>
      </w:r>
      <w:r>
        <w:rPr>
          <w:rFonts w:hint="eastAsia"/>
          <w:lang w:eastAsia="zh-CN"/>
        </w:rPr>
        <w:t>，</w:t>
      </w:r>
      <w:r>
        <w:rPr>
          <w:rFonts w:hint="eastAsia"/>
        </w:rPr>
        <w:t>推动思政小课堂与社会大课堂相结合</w:t>
      </w:r>
      <w:r>
        <w:rPr>
          <w:rFonts w:hint="eastAsia"/>
          <w:lang w:eastAsia="zh-CN"/>
        </w:rPr>
        <w:t>，</w:t>
      </w:r>
      <w:r>
        <w:rPr>
          <w:rFonts w:hint="eastAsia"/>
        </w:rPr>
        <w:t>推进全省“大思政课”建设。</w:t>
      </w:r>
    </w:p>
    <w:p>
      <w:pPr>
        <w:pStyle w:val="2"/>
        <w:ind w:firstLine="632"/>
      </w:pPr>
      <w:r>
        <w:rPr>
          <w:rFonts w:hint="eastAsia"/>
        </w:rPr>
        <w:t>二、项目建设内容</w:t>
      </w:r>
    </w:p>
    <w:p>
      <w:pPr>
        <w:ind w:firstLine="632"/>
      </w:pPr>
      <w:r>
        <w:rPr>
          <w:rFonts w:hint="eastAsia"/>
        </w:rPr>
        <w:t>由</w:t>
      </w:r>
      <w:r>
        <w:rPr>
          <w:rFonts w:hint="eastAsia"/>
          <w:lang w:eastAsia="zh-CN"/>
        </w:rPr>
        <w:t>具有条件的</w:t>
      </w:r>
      <w:r>
        <w:rPr>
          <w:rFonts w:hint="eastAsia"/>
        </w:rPr>
        <w:t>申报高校牵头，与</w:t>
      </w:r>
      <w:r>
        <w:rPr>
          <w:rFonts w:hint="eastAsia"/>
          <w:lang w:eastAsia="zh-CN"/>
        </w:rPr>
        <w:t>全省性</w:t>
      </w:r>
      <w:r>
        <w:rPr>
          <w:rFonts w:hint="eastAsia"/>
        </w:rPr>
        <w:t>系统性行业性育人平台资源（包括但不限于纪念馆、博物馆、科技馆、展馆、图书馆、科普教育基地、烈士陵园等）共建，按照主题聚焦、特色鲜明</w:t>
      </w:r>
      <w:r>
        <w:rPr>
          <w:rFonts w:hint="eastAsia"/>
          <w:lang w:eastAsia="zh-CN"/>
        </w:rPr>
        <w:t>要求</w:t>
      </w:r>
      <w:r>
        <w:rPr>
          <w:rFonts w:hint="eastAsia"/>
        </w:rPr>
        <w:t>，建设网上网下相结合的省内高校师生共享共用的“大思政课”实践教学基地。建设内容：</w:t>
      </w:r>
    </w:p>
    <w:p>
      <w:pPr>
        <w:ind w:firstLine="632"/>
      </w:pPr>
      <w:r>
        <w:rPr>
          <w:rFonts w:hint="eastAsia" w:ascii="方正楷体_GBK" w:hAnsi="方正楷体_GBK" w:eastAsia="方正楷体_GBK" w:cs="方正楷体_GBK"/>
        </w:rPr>
        <w:t>（一）突出内涵建设</w:t>
      </w:r>
      <w:r>
        <w:rPr>
          <w:rFonts w:hint="eastAsia" w:ascii="方正楷体_GBK" w:hAnsi="方正楷体_GBK" w:eastAsia="方正楷体_GBK" w:cs="方正楷体_GBK"/>
          <w:lang w:eastAsia="zh-CN"/>
        </w:rPr>
        <w:t>。</w:t>
      </w:r>
      <w:r>
        <w:rPr>
          <w:rFonts w:hint="eastAsia"/>
        </w:rPr>
        <w:t>围绕“四史”教育、理想信念教育、中华民族伟大复兴中国梦宣传教育、社会主义核心价值观教育、爱国主义教育、道德教育、法治教育、国家安全教育等，与合作单位开展深化建设，在实践教学课程开发、教材编写、师资培养、理论阐释、教学研究、人才培养、数字化建设等方面有突出</w:t>
      </w:r>
      <w:r>
        <w:rPr>
          <w:rFonts w:hint="eastAsia"/>
          <w:lang w:eastAsia="zh-CN"/>
        </w:rPr>
        <w:t>预期成果</w:t>
      </w:r>
      <w:r>
        <w:rPr>
          <w:rFonts w:hint="eastAsia"/>
        </w:rPr>
        <w:t>。</w:t>
      </w:r>
    </w:p>
    <w:p>
      <w:pPr>
        <w:autoSpaceDE w:val="0"/>
        <w:autoSpaceDN w:val="0"/>
        <w:adjustRightInd w:val="0"/>
        <w:spacing w:line="240" w:lineRule="auto"/>
        <w:ind w:firstLine="474" w:firstLineChars="150"/>
        <w:jc w:val="left"/>
      </w:pPr>
      <w:r>
        <w:rPr>
          <w:rFonts w:hint="eastAsia" w:ascii="方正楷体_GBK" w:hAnsi="方正楷体_GBK" w:eastAsia="方正楷体_GBK" w:cs="方正楷体_GBK"/>
        </w:rPr>
        <w:t>（二）突出成果运用</w:t>
      </w:r>
      <w:r>
        <w:rPr>
          <w:rFonts w:hint="eastAsia" w:ascii="方正楷体_GBK" w:hAnsi="方正楷体_GBK" w:eastAsia="方正楷体_GBK" w:cs="方正楷体_GBK"/>
          <w:lang w:eastAsia="zh-CN"/>
        </w:rPr>
        <w:t>。</w:t>
      </w:r>
      <w:r>
        <w:rPr>
          <w:rFonts w:hint="eastAsia"/>
          <w:lang w:eastAsia="zh-CN"/>
        </w:rPr>
        <w:t>夯实</w:t>
      </w:r>
      <w:r>
        <w:rPr>
          <w:rFonts w:hint="eastAsia"/>
        </w:rPr>
        <w:t>基地教育功能，展陈内容丰富，有效彰显</w:t>
      </w:r>
      <w:r>
        <w:t>“</w:t>
      </w:r>
      <w:r>
        <w:rPr>
          <w:rFonts w:hint="eastAsia"/>
        </w:rPr>
        <w:t>大课堂</w:t>
      </w:r>
      <w:r>
        <w:t>”</w:t>
      </w:r>
      <w:r>
        <w:rPr>
          <w:rFonts w:hint="eastAsia"/>
        </w:rPr>
        <w:t>、</w:t>
      </w:r>
      <w:r>
        <w:t>“</w:t>
      </w:r>
      <w:r>
        <w:rPr>
          <w:rFonts w:hint="eastAsia"/>
        </w:rPr>
        <w:t>大平台</w:t>
      </w:r>
      <w:r>
        <w:t>”</w:t>
      </w:r>
      <w:r>
        <w:rPr>
          <w:rFonts w:hint="eastAsia"/>
        </w:rPr>
        <w:t>、</w:t>
      </w:r>
      <w:r>
        <w:t>“</w:t>
      </w:r>
      <w:r>
        <w:rPr>
          <w:rFonts w:hint="eastAsia"/>
        </w:rPr>
        <w:t>大师资</w:t>
      </w:r>
      <w:r>
        <w:t>”</w:t>
      </w:r>
      <w:r>
        <w:rPr>
          <w:rFonts w:hint="eastAsia"/>
        </w:rPr>
        <w:t>建设成效。展陈手段多元，能够运用现代信息技术（V</w:t>
      </w:r>
      <w:r>
        <w:t>R</w:t>
      </w:r>
      <w:r>
        <w:rPr>
          <w:rFonts w:hint="eastAsia"/>
        </w:rPr>
        <w:t>等），以体验教学、实践模拟、现场观摩、云参观等多种手段，开展参与式、体验式、互动式等实践教学。项目建设周期内每年接待不少于1000人次，建成后实现接待人次、教育教学质量逐年提升。资源可以实现全省学校共享。</w:t>
      </w:r>
    </w:p>
    <w:p>
      <w:pPr>
        <w:autoSpaceDE w:val="0"/>
        <w:autoSpaceDN w:val="0"/>
        <w:adjustRightInd w:val="0"/>
        <w:spacing w:line="240" w:lineRule="auto"/>
        <w:ind w:firstLine="632"/>
        <w:jc w:val="left"/>
      </w:pPr>
      <w:r>
        <w:rPr>
          <w:rFonts w:hint="eastAsia" w:ascii="方正楷体_GBK" w:hAnsi="方正楷体_GBK" w:eastAsia="方正楷体_GBK" w:cs="方正楷体_GBK"/>
        </w:rPr>
        <w:t>（三）突出长效合作机制建设</w:t>
      </w:r>
      <w:r>
        <w:rPr>
          <w:rFonts w:hint="eastAsia" w:ascii="方正楷体_GBK" w:hAnsi="方正楷体_GBK" w:eastAsia="方正楷体_GBK" w:cs="方正楷体_GBK"/>
          <w:lang w:eastAsia="zh-CN"/>
        </w:rPr>
        <w:t>。</w:t>
      </w:r>
      <w:r>
        <w:rPr>
          <w:rFonts w:hint="eastAsia"/>
        </w:rPr>
        <w:t>牵头高校应积极与基地（群）构建长效合作机制，管理制度完备，有专门工作团队加强研究和资源开发。</w:t>
      </w:r>
      <w:r>
        <w:rPr>
          <w:rFonts w:hint="eastAsia" w:ascii="仿宋_GB2312" w:eastAsia="仿宋_GB2312" w:cs="仿宋_GB2312" w:hAnsiTheme="minorHAnsi"/>
          <w:kern w:val="0"/>
          <w:szCs w:val="32"/>
        </w:rPr>
        <w:t>积极创造条件，与各地教育部门、学校建立有效</w:t>
      </w:r>
      <w:r>
        <w:rPr>
          <w:rFonts w:hint="eastAsia" w:ascii="仿宋_GB2312" w:eastAsia="仿宋_GB2312" w:cs="仿宋_GB2312" w:hAnsiTheme="minorHAnsi"/>
          <w:kern w:val="0"/>
          <w:szCs w:val="32"/>
          <w:lang w:eastAsia="zh-CN"/>
        </w:rPr>
        <w:t>联系</w:t>
      </w:r>
      <w:r>
        <w:rPr>
          <w:rFonts w:hint="eastAsia" w:ascii="仿宋_GB2312" w:eastAsia="仿宋_GB2312" w:cs="仿宋_GB2312" w:hAnsiTheme="minorHAnsi"/>
          <w:kern w:val="0"/>
          <w:szCs w:val="32"/>
        </w:rPr>
        <w:t>工作机制，协同完成好实践教学任务。</w:t>
      </w:r>
    </w:p>
    <w:p>
      <w:pPr>
        <w:ind w:firstLine="632"/>
      </w:pPr>
      <w:r>
        <w:rPr>
          <w:rFonts w:hint="eastAsia" w:ascii="方正楷体_GBK" w:hAnsi="方正楷体_GBK" w:eastAsia="方正楷体_GBK" w:cs="方正楷体_GBK"/>
        </w:rPr>
        <w:t>（四）突出安全保障</w:t>
      </w:r>
      <w:r>
        <w:rPr>
          <w:rFonts w:hint="eastAsia" w:ascii="方正楷体_GBK" w:hAnsi="方正楷体_GBK" w:eastAsia="方正楷体_GBK" w:cs="方正楷体_GBK"/>
          <w:lang w:eastAsia="zh-CN"/>
        </w:rPr>
        <w:t>。</w:t>
      </w:r>
      <w:r>
        <w:rPr>
          <w:rFonts w:hint="eastAsia"/>
        </w:rPr>
        <w:t>基地硬件设施完备，展陈功能齐全，原则上应有同时接纳100人以上的展示区域或互动空间，展陈面积一般不少于1000平方米。按规定配备消防栓、灭火器等专业消防器材，具有专门的安全应急通道，有2</w:t>
      </w:r>
      <w:r>
        <w:t>4</w:t>
      </w:r>
      <w:r>
        <w:rPr>
          <w:rFonts w:hint="eastAsia"/>
        </w:rPr>
        <w:t>小时、无死角的监控系统，有应急预案，未发生过安全事故。具备医疗应急处置能力，周边医疗资源完备，交通安全便利。</w:t>
      </w:r>
    </w:p>
    <w:p>
      <w:pPr>
        <w:autoSpaceDE w:val="0"/>
        <w:autoSpaceDN w:val="0"/>
        <w:adjustRightInd w:val="0"/>
        <w:spacing w:line="240" w:lineRule="auto"/>
        <w:ind w:firstLine="632"/>
        <w:jc w:val="left"/>
      </w:pPr>
      <w:r>
        <w:rPr>
          <w:rFonts w:hint="eastAsia" w:ascii="方正楷体_GBK" w:hAnsi="方正楷体_GBK" w:eastAsia="方正楷体_GBK" w:cs="方正楷体_GBK"/>
        </w:rPr>
        <w:t>（五）突出辐射带动</w:t>
      </w:r>
      <w:r>
        <w:rPr>
          <w:rFonts w:hint="eastAsia" w:ascii="方正楷体_GBK" w:hAnsi="方正楷体_GBK" w:eastAsia="方正楷体_GBK" w:cs="方正楷体_GBK"/>
          <w:lang w:eastAsia="zh-CN"/>
        </w:rPr>
        <w:t>。</w:t>
      </w:r>
      <w:r>
        <w:rPr>
          <w:rFonts w:hint="eastAsia"/>
        </w:rPr>
        <w:t>基地建设注重与大中小学思政教育一体化建设、推动思政课内涵式发展相关重点工作相衔接，</w:t>
      </w:r>
      <w:r>
        <w:rPr>
          <w:rFonts w:hint="eastAsia" w:ascii="仿宋_GB2312" w:eastAsia="仿宋_GB2312" w:cs="仿宋_GB2312" w:hAnsiTheme="minorHAnsi"/>
          <w:kern w:val="0"/>
          <w:szCs w:val="32"/>
        </w:rPr>
        <w:t>协同推进习近平新时代中国特色社会主义思想研究</w:t>
      </w:r>
      <w:r>
        <w:rPr>
          <w:rFonts w:hint="eastAsia" w:ascii="仿宋_GB2312" w:eastAsia="仿宋_GB2312" w:cs="仿宋_GB2312" w:hAnsiTheme="minorHAnsi"/>
          <w:kern w:val="0"/>
          <w:szCs w:val="32"/>
          <w:lang w:eastAsia="zh-CN"/>
        </w:rPr>
        <w:t>智库</w:t>
      </w:r>
      <w:r>
        <w:rPr>
          <w:rFonts w:hint="eastAsia" w:ascii="仿宋_GB2312" w:eastAsia="仿宋_GB2312" w:cs="仿宋_GB2312" w:hAnsiTheme="minorHAnsi"/>
          <w:kern w:val="0"/>
          <w:szCs w:val="32"/>
        </w:rPr>
        <w:t>、省级教材建设重点研究基地、人文社科重点研究基地、研修研学基地、马克思主义学院、省高校智慧思政平台等建设，在打造“名师金课”、日常思政教育、优质资源汇聚等方面形成有效支撑，发挥辐射带动作用。</w:t>
      </w:r>
    </w:p>
    <w:p>
      <w:pPr>
        <w:pStyle w:val="2"/>
        <w:ind w:firstLine="632"/>
      </w:pPr>
      <w:r>
        <w:rPr>
          <w:rFonts w:hint="eastAsia"/>
        </w:rPr>
        <w:t>三、申报限额</w:t>
      </w:r>
    </w:p>
    <w:p>
      <w:pPr>
        <w:ind w:firstLine="634"/>
      </w:pPr>
      <w:r>
        <w:rPr>
          <w:rFonts w:hint="eastAsia"/>
          <w:b/>
          <w:bCs/>
        </w:rPr>
        <w:t>全省各高校每校依据</w:t>
      </w:r>
      <w:r>
        <w:rPr>
          <w:rFonts w:hint="eastAsia"/>
          <w:b/>
          <w:bCs/>
          <w:lang w:eastAsia="zh-CN"/>
        </w:rPr>
        <w:t>工作基础、</w:t>
      </w:r>
      <w:r>
        <w:rPr>
          <w:rFonts w:hint="eastAsia"/>
          <w:b/>
          <w:bCs/>
        </w:rPr>
        <w:t>场馆特色、聚焦主题</w:t>
      </w:r>
      <w:r>
        <w:rPr>
          <w:rFonts w:hint="eastAsia"/>
          <w:b/>
          <w:bCs/>
          <w:lang w:eastAsia="zh-CN"/>
        </w:rPr>
        <w:t>情况</w:t>
      </w:r>
      <w:r>
        <w:rPr>
          <w:rFonts w:hint="eastAsia"/>
          <w:b/>
          <w:bCs/>
        </w:rPr>
        <w:t>视情限报1项。</w:t>
      </w:r>
      <w:r>
        <w:rPr>
          <w:rFonts w:hint="eastAsia"/>
        </w:rPr>
        <w:t>评选采取学校申报、省级评审的方式确定建设项目。按照评审、立项、实施、考核、验收等建设程序，分年度、分步骤于</w:t>
      </w:r>
      <w:r>
        <w:t>202</w:t>
      </w:r>
      <w:r>
        <w:rPr>
          <w:rFonts w:hint="eastAsia"/>
        </w:rPr>
        <w:t>4-</w:t>
      </w:r>
      <w:r>
        <w:t>202</w:t>
      </w:r>
      <w:r>
        <w:rPr>
          <w:rFonts w:hint="eastAsia"/>
        </w:rPr>
        <w:t>6年实施建设项目。</w:t>
      </w:r>
    </w:p>
    <w:p>
      <w:pPr>
        <w:pStyle w:val="2"/>
        <w:ind w:firstLine="632"/>
      </w:pPr>
      <w:r>
        <w:rPr>
          <w:rFonts w:hint="eastAsia"/>
        </w:rPr>
        <w:t>四、项目管理</w:t>
      </w:r>
    </w:p>
    <w:p>
      <w:pPr>
        <w:adjustRightInd w:val="0"/>
        <w:snapToGrid w:val="0"/>
        <w:spacing w:line="580" w:lineRule="exact"/>
        <w:ind w:firstLine="648"/>
        <w:rPr>
          <w:rFonts w:cs="Times New Roman"/>
          <w:spacing w:val="4"/>
          <w:kern w:val="0"/>
          <w:szCs w:val="32"/>
        </w:rPr>
      </w:pPr>
      <w:r>
        <w:rPr>
          <w:rFonts w:hint="eastAsia" w:cs="Times New Roman"/>
          <w:spacing w:val="4"/>
          <w:kern w:val="32"/>
          <w:szCs w:val="32"/>
        </w:rPr>
        <w:t>1</w:t>
      </w:r>
      <w:r>
        <w:rPr>
          <w:rFonts w:cs="Times New Roman"/>
          <w:spacing w:val="4"/>
          <w:kern w:val="0"/>
          <w:szCs w:val="32"/>
        </w:rPr>
        <w:t>.</w:t>
      </w:r>
      <w:r>
        <w:rPr>
          <w:rFonts w:hint="eastAsia" w:cs="Times New Roman"/>
          <w:spacing w:val="4"/>
          <w:kern w:val="0"/>
          <w:szCs w:val="32"/>
        </w:rPr>
        <w:t>严格项目建设考核与管理</w:t>
      </w:r>
      <w:r>
        <w:rPr>
          <w:rFonts w:hint="eastAsia" w:cs="Times New Roman"/>
          <w:spacing w:val="4"/>
          <w:kern w:val="0"/>
          <w:szCs w:val="32"/>
          <w:lang w:eastAsia="zh-CN"/>
        </w:rPr>
        <w:t>。</w:t>
      </w:r>
      <w:r>
        <w:rPr>
          <w:rFonts w:hint="eastAsia" w:cs="Times New Roman"/>
          <w:spacing w:val="4"/>
          <w:kern w:val="0"/>
          <w:szCs w:val="32"/>
        </w:rPr>
        <w:t>项目日常管理和结项由省委教育工委、省教育厅思政处负责。项目若未能按期、按质量完成建设目标，将予以撤项并追回支持经费。</w:t>
      </w:r>
    </w:p>
    <w:p>
      <w:pPr>
        <w:adjustRightInd w:val="0"/>
        <w:snapToGrid w:val="0"/>
        <w:spacing w:line="580" w:lineRule="exact"/>
        <w:ind w:firstLine="648"/>
        <w:rPr>
          <w:rFonts w:cs="宋体"/>
          <w:kern w:val="0"/>
          <w:szCs w:val="32"/>
        </w:rPr>
      </w:pPr>
      <w:r>
        <w:rPr>
          <w:rFonts w:hint="eastAsia" w:cs="Times New Roman"/>
          <w:spacing w:val="4"/>
          <w:kern w:val="0"/>
          <w:szCs w:val="32"/>
        </w:rPr>
        <w:t>2</w:t>
      </w:r>
      <w:r>
        <w:rPr>
          <w:rFonts w:cs="Times New Roman"/>
          <w:spacing w:val="4"/>
          <w:kern w:val="0"/>
          <w:szCs w:val="32"/>
        </w:rPr>
        <w:t>.</w:t>
      </w:r>
      <w:r>
        <w:rPr>
          <w:rFonts w:hint="eastAsia" w:cs="Times New Roman"/>
          <w:spacing w:val="4"/>
          <w:kern w:val="0"/>
          <w:szCs w:val="32"/>
        </w:rPr>
        <w:t>省教育厅对</w:t>
      </w:r>
      <w:r>
        <w:rPr>
          <w:rFonts w:hint="eastAsia" w:cs="Times New Roman"/>
          <w:kern w:val="0"/>
          <w:szCs w:val="32"/>
        </w:rPr>
        <w:t>每个项目给予若干的工作经费支持，一次性拨</w:t>
      </w:r>
      <w:r>
        <w:rPr>
          <w:rFonts w:hint="eastAsia" w:cs="宋体"/>
          <w:kern w:val="0"/>
          <w:szCs w:val="32"/>
        </w:rPr>
        <w:t>付，用于项目实施推进、完善优化和成果转化推广等。项目所在高校可结合实际，给予一定的政策、经费配套支持。</w:t>
      </w:r>
    </w:p>
    <w:p>
      <w:pPr>
        <w:ind w:firstLine="632"/>
      </w:pPr>
    </w:p>
    <w:p>
      <w:pPr>
        <w:ind w:firstLine="632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41" w:right="1531" w:bottom="2041" w:left="1531" w:header="851" w:footer="1587" w:gutter="0"/>
      <w:pgNumType w:fmt="numberInDash"/>
      <w:cols w:space="425" w:num="1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等线 Light">
    <w:altName w:val="汉仪中宋简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20" w:rightChars="100" w:firstLine="5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left="320" w:leftChars="100" w:firstLine="0" w:firstLineChars="0"/>
      <w:rPr>
        <w:rFonts w:ascii="宋体" w:hAnsi="宋体" w:eastAsia="宋体"/>
        <w:sz w:val="28"/>
        <w:szCs w:val="28"/>
      </w:rPr>
    </w:pPr>
    <w:r>
      <w:rPr>
        <w:sz w:val="28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true"/>
  <w:bordersDoNotSurroundFooter w:val="true"/>
  <w:documentProtection w:enforcement="0"/>
  <w:defaultTabStop w:val="420"/>
  <w:evenAndOddHeaders w:val="true"/>
  <w:drawingGridHorizontalSpacing w:val="158"/>
  <w:drawingGridVerticalSpacing w:val="579"/>
  <w:displayHorizontalDrawingGridEvery w:val="0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k5ODM0YmMxOWJiYWQyNDU4MGIzYWRmYTA0ZmI5NDcifQ=="/>
  </w:docVars>
  <w:rsids>
    <w:rsidRoot w:val="00145204"/>
    <w:rsid w:val="00014D37"/>
    <w:rsid w:val="00064F3B"/>
    <w:rsid w:val="000B3119"/>
    <w:rsid w:val="000D3189"/>
    <w:rsid w:val="000E6B11"/>
    <w:rsid w:val="0011735A"/>
    <w:rsid w:val="00145204"/>
    <w:rsid w:val="001530F0"/>
    <w:rsid w:val="001706CF"/>
    <w:rsid w:val="00190BD1"/>
    <w:rsid w:val="00201D75"/>
    <w:rsid w:val="00236AB6"/>
    <w:rsid w:val="002A0D48"/>
    <w:rsid w:val="002C033D"/>
    <w:rsid w:val="002D1DA0"/>
    <w:rsid w:val="002D7483"/>
    <w:rsid w:val="00361B55"/>
    <w:rsid w:val="003937E7"/>
    <w:rsid w:val="003A0DFC"/>
    <w:rsid w:val="003C3F07"/>
    <w:rsid w:val="00423318"/>
    <w:rsid w:val="00431316"/>
    <w:rsid w:val="004523C5"/>
    <w:rsid w:val="00497162"/>
    <w:rsid w:val="004D4C27"/>
    <w:rsid w:val="004D4D4B"/>
    <w:rsid w:val="00515B83"/>
    <w:rsid w:val="0054793D"/>
    <w:rsid w:val="0056653D"/>
    <w:rsid w:val="00572442"/>
    <w:rsid w:val="005E7A3F"/>
    <w:rsid w:val="005F59A1"/>
    <w:rsid w:val="00620A3E"/>
    <w:rsid w:val="006348CB"/>
    <w:rsid w:val="00697491"/>
    <w:rsid w:val="006A1F57"/>
    <w:rsid w:val="006C2EE5"/>
    <w:rsid w:val="006E32CA"/>
    <w:rsid w:val="006E6EB2"/>
    <w:rsid w:val="00761644"/>
    <w:rsid w:val="00761C59"/>
    <w:rsid w:val="00892B1C"/>
    <w:rsid w:val="008A6256"/>
    <w:rsid w:val="008B4C4D"/>
    <w:rsid w:val="008B4FD4"/>
    <w:rsid w:val="008C2C29"/>
    <w:rsid w:val="00916470"/>
    <w:rsid w:val="0092573A"/>
    <w:rsid w:val="00947661"/>
    <w:rsid w:val="00954F93"/>
    <w:rsid w:val="00955C4B"/>
    <w:rsid w:val="00957C02"/>
    <w:rsid w:val="009671A8"/>
    <w:rsid w:val="00973C09"/>
    <w:rsid w:val="00A24F88"/>
    <w:rsid w:val="00A55952"/>
    <w:rsid w:val="00A61847"/>
    <w:rsid w:val="00A823AA"/>
    <w:rsid w:val="00A86711"/>
    <w:rsid w:val="00AC04BE"/>
    <w:rsid w:val="00AD2E77"/>
    <w:rsid w:val="00AD41A3"/>
    <w:rsid w:val="00AE10D1"/>
    <w:rsid w:val="00BC7A6D"/>
    <w:rsid w:val="00BE0F16"/>
    <w:rsid w:val="00BF559F"/>
    <w:rsid w:val="00C072FA"/>
    <w:rsid w:val="00C33C39"/>
    <w:rsid w:val="00C80567"/>
    <w:rsid w:val="00CB7627"/>
    <w:rsid w:val="00D1606D"/>
    <w:rsid w:val="00D22C0B"/>
    <w:rsid w:val="00D54261"/>
    <w:rsid w:val="00D770B8"/>
    <w:rsid w:val="00D8537E"/>
    <w:rsid w:val="00DF1060"/>
    <w:rsid w:val="00E1542C"/>
    <w:rsid w:val="00E331E8"/>
    <w:rsid w:val="00E478FD"/>
    <w:rsid w:val="00EB0DFE"/>
    <w:rsid w:val="00EF70FF"/>
    <w:rsid w:val="00F152A7"/>
    <w:rsid w:val="00F22AB2"/>
    <w:rsid w:val="00F26A11"/>
    <w:rsid w:val="00F318EC"/>
    <w:rsid w:val="00F56081"/>
    <w:rsid w:val="00F661B3"/>
    <w:rsid w:val="00F856E7"/>
    <w:rsid w:val="00F869AF"/>
    <w:rsid w:val="00F87673"/>
    <w:rsid w:val="00F94256"/>
    <w:rsid w:val="00F976A5"/>
    <w:rsid w:val="00FC7423"/>
    <w:rsid w:val="00FF2A71"/>
    <w:rsid w:val="3907362D"/>
    <w:rsid w:val="43FFCDD4"/>
    <w:rsid w:val="4FB5AC42"/>
    <w:rsid w:val="4FFFE1C0"/>
    <w:rsid w:val="5F97C489"/>
    <w:rsid w:val="619FAE39"/>
    <w:rsid w:val="6A6731E6"/>
    <w:rsid w:val="77EA2098"/>
    <w:rsid w:val="ADEAD191"/>
    <w:rsid w:val="CFF9FACB"/>
    <w:rsid w:val="DF567138"/>
    <w:rsid w:val="DFEF1891"/>
    <w:rsid w:val="E8FFDF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11" w:lineRule="auto"/>
      <w:ind w:firstLine="200" w:firstLineChars="200"/>
      <w:jc w:val="both"/>
    </w:pPr>
    <w:rPr>
      <w:rFonts w:ascii="Times New Roman" w:hAnsi="Times New Roman" w:eastAsia="方正仿宋_GBK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9"/>
    <w:pPr>
      <w:keepNext/>
      <w:keepLines/>
      <w:spacing w:line="600" w:lineRule="exact"/>
      <w:ind w:firstLine="0" w:firstLineChars="0"/>
      <w:jc w:val="center"/>
      <w:outlineLvl w:val="0"/>
    </w:pPr>
    <w:rPr>
      <w:rFonts w:ascii="方正小标宋_GBK" w:eastAsia="方正小标宋_GBK"/>
      <w:bCs/>
      <w:kern w:val="44"/>
      <w:sz w:val="44"/>
      <w:szCs w:val="44"/>
    </w:rPr>
  </w:style>
  <w:style w:type="paragraph" w:styleId="2">
    <w:name w:val="heading 2"/>
    <w:basedOn w:val="1"/>
    <w:next w:val="1"/>
    <w:link w:val="17"/>
    <w:unhideWhenUsed/>
    <w:qFormat/>
    <w:uiPriority w:val="9"/>
    <w:pPr>
      <w:keepNext/>
      <w:keepLines/>
      <w:outlineLvl w:val="1"/>
    </w:pPr>
    <w:rPr>
      <w:rFonts w:ascii="方正黑体_GBK" w:eastAsia="方正黑体_GBK" w:hAnsiTheme="majorHAnsi" w:cstheme="majorBidi"/>
      <w:bCs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outlineLvl w:val="2"/>
    </w:pPr>
    <w:rPr>
      <w:rFonts w:ascii="方正楷体_GBK" w:eastAsia="方正楷体_GBK"/>
      <w:bCs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outlineLvl w:val="3"/>
    </w:pPr>
    <w:rPr>
      <w:rFonts w:cstheme="majorBidi"/>
      <w:b/>
      <w:bCs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6"/>
    <w:semiHidden/>
    <w:unhideWhenUsed/>
    <w:qFormat/>
    <w:uiPriority w:val="99"/>
    <w:pPr>
      <w:jc w:val="left"/>
    </w:pPr>
  </w:style>
  <w:style w:type="paragraph" w:styleId="7">
    <w:name w:val="Balloon Text"/>
    <w:basedOn w:val="1"/>
    <w:link w:val="25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Subtitle"/>
    <w:basedOn w:val="1"/>
    <w:next w:val="1"/>
    <w:link w:val="21"/>
    <w:qFormat/>
    <w:uiPriority w:val="11"/>
    <w:pPr>
      <w:jc w:val="center"/>
      <w:outlineLvl w:val="2"/>
    </w:pPr>
    <w:rPr>
      <w:b/>
      <w:bCs/>
      <w:kern w:val="28"/>
      <w:szCs w:val="32"/>
    </w:rPr>
  </w:style>
  <w:style w:type="paragraph" w:styleId="11">
    <w:name w:val="Title"/>
    <w:basedOn w:val="1"/>
    <w:next w:val="1"/>
    <w:link w:val="18"/>
    <w:qFormat/>
    <w:uiPriority w:val="10"/>
    <w:pPr>
      <w:outlineLvl w:val="1"/>
    </w:pPr>
    <w:rPr>
      <w:rFonts w:ascii="方正楷体_GBK" w:eastAsia="方正楷体_GBK" w:hAnsiTheme="majorHAnsi" w:cstheme="majorBidi"/>
      <w:b/>
      <w:bCs/>
      <w:szCs w:val="32"/>
    </w:rPr>
  </w:style>
  <w:style w:type="paragraph" w:styleId="12">
    <w:name w:val="annotation subject"/>
    <w:basedOn w:val="6"/>
    <w:next w:val="6"/>
    <w:link w:val="27"/>
    <w:semiHidden/>
    <w:unhideWhenUsed/>
    <w:qFormat/>
    <w:uiPriority w:val="99"/>
    <w:rPr>
      <w:b/>
      <w:bCs/>
    </w:rPr>
  </w:style>
  <w:style w:type="character" w:styleId="15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6">
    <w:name w:val="标题 1 Char"/>
    <w:basedOn w:val="14"/>
    <w:link w:val="3"/>
    <w:qFormat/>
    <w:uiPriority w:val="9"/>
    <w:rPr>
      <w:rFonts w:ascii="方正小标宋_GBK" w:hAnsi="Times New Roman" w:eastAsia="方正小标宋_GBK"/>
      <w:bCs/>
      <w:kern w:val="44"/>
      <w:sz w:val="44"/>
      <w:szCs w:val="44"/>
    </w:rPr>
  </w:style>
  <w:style w:type="character" w:customStyle="1" w:styleId="17">
    <w:name w:val="标题 2 Char"/>
    <w:basedOn w:val="14"/>
    <w:link w:val="2"/>
    <w:qFormat/>
    <w:uiPriority w:val="9"/>
    <w:rPr>
      <w:rFonts w:ascii="方正黑体_GBK" w:eastAsia="方正黑体_GBK" w:hAnsiTheme="majorHAnsi" w:cstheme="majorBidi"/>
      <w:bCs/>
      <w:sz w:val="32"/>
      <w:szCs w:val="32"/>
    </w:rPr>
  </w:style>
  <w:style w:type="character" w:customStyle="1" w:styleId="18">
    <w:name w:val="标题 Char"/>
    <w:basedOn w:val="14"/>
    <w:link w:val="11"/>
    <w:qFormat/>
    <w:uiPriority w:val="10"/>
    <w:rPr>
      <w:rFonts w:ascii="方正楷体_GBK" w:eastAsia="方正楷体_GBK" w:hAnsiTheme="majorHAnsi" w:cstheme="majorBidi"/>
      <w:b/>
      <w:bCs/>
      <w:sz w:val="32"/>
      <w:szCs w:val="32"/>
    </w:rPr>
  </w:style>
  <w:style w:type="character" w:customStyle="1" w:styleId="19">
    <w:name w:val="页眉 Char"/>
    <w:basedOn w:val="14"/>
    <w:link w:val="9"/>
    <w:qFormat/>
    <w:uiPriority w:val="99"/>
    <w:rPr>
      <w:rFonts w:eastAsia="方正仿宋_GBK"/>
      <w:sz w:val="18"/>
      <w:szCs w:val="18"/>
    </w:rPr>
  </w:style>
  <w:style w:type="character" w:customStyle="1" w:styleId="20">
    <w:name w:val="页脚 Char"/>
    <w:basedOn w:val="14"/>
    <w:link w:val="8"/>
    <w:qFormat/>
    <w:uiPriority w:val="99"/>
    <w:rPr>
      <w:rFonts w:eastAsia="方正仿宋_GBK"/>
      <w:sz w:val="18"/>
      <w:szCs w:val="18"/>
    </w:rPr>
  </w:style>
  <w:style w:type="character" w:customStyle="1" w:styleId="21">
    <w:name w:val="副标题 Char"/>
    <w:basedOn w:val="14"/>
    <w:link w:val="10"/>
    <w:qFormat/>
    <w:uiPriority w:val="11"/>
    <w:rPr>
      <w:rFonts w:ascii="方正仿宋_GBK" w:eastAsia="方正仿宋_GBK"/>
      <w:b/>
      <w:bCs/>
      <w:kern w:val="28"/>
      <w:sz w:val="32"/>
      <w:szCs w:val="32"/>
    </w:rPr>
  </w:style>
  <w:style w:type="character" w:customStyle="1" w:styleId="22">
    <w:name w:val="标题 3 Char"/>
    <w:basedOn w:val="14"/>
    <w:link w:val="4"/>
    <w:qFormat/>
    <w:uiPriority w:val="9"/>
    <w:rPr>
      <w:rFonts w:ascii="方正楷体_GBK" w:eastAsia="方正楷体_GBK"/>
      <w:bCs/>
      <w:sz w:val="32"/>
      <w:szCs w:val="32"/>
    </w:rPr>
  </w:style>
  <w:style w:type="character" w:customStyle="1" w:styleId="23">
    <w:name w:val="标题 4 Char"/>
    <w:basedOn w:val="14"/>
    <w:link w:val="5"/>
    <w:qFormat/>
    <w:uiPriority w:val="9"/>
    <w:rPr>
      <w:rFonts w:ascii="Times New Roman" w:hAnsi="Times New Roman" w:eastAsia="方正仿宋_GBK" w:cstheme="majorBidi"/>
      <w:b/>
      <w:bCs/>
      <w:sz w:val="32"/>
      <w:szCs w:val="28"/>
    </w:rPr>
  </w:style>
  <w:style w:type="paragraph" w:customStyle="1" w:styleId="24">
    <w:name w:val="修订1"/>
    <w:hidden/>
    <w:semiHidden/>
    <w:qFormat/>
    <w:uiPriority w:val="99"/>
    <w:rPr>
      <w:rFonts w:ascii="Times New Roman" w:hAnsi="Times New Roman" w:eastAsia="方正仿宋_GBK" w:cstheme="minorBidi"/>
      <w:kern w:val="2"/>
      <w:sz w:val="32"/>
      <w:szCs w:val="22"/>
      <w:lang w:val="en-US" w:eastAsia="zh-CN" w:bidi="ar-SA"/>
    </w:rPr>
  </w:style>
  <w:style w:type="character" w:customStyle="1" w:styleId="25">
    <w:name w:val="批注框文本 Char"/>
    <w:basedOn w:val="14"/>
    <w:link w:val="7"/>
    <w:semiHidden/>
    <w:qFormat/>
    <w:uiPriority w:val="99"/>
    <w:rPr>
      <w:rFonts w:ascii="Times New Roman" w:hAnsi="Times New Roman" w:eastAsia="方正仿宋_GBK"/>
      <w:kern w:val="2"/>
      <w:sz w:val="18"/>
      <w:szCs w:val="18"/>
    </w:rPr>
  </w:style>
  <w:style w:type="character" w:customStyle="1" w:styleId="26">
    <w:name w:val="批注文字 Char"/>
    <w:basedOn w:val="14"/>
    <w:link w:val="6"/>
    <w:semiHidden/>
    <w:qFormat/>
    <w:uiPriority w:val="99"/>
    <w:rPr>
      <w:rFonts w:ascii="Times New Roman" w:hAnsi="Times New Roman" w:eastAsia="方正仿宋_GBK"/>
      <w:kern w:val="2"/>
      <w:sz w:val="32"/>
      <w:szCs w:val="22"/>
    </w:rPr>
  </w:style>
  <w:style w:type="character" w:customStyle="1" w:styleId="27">
    <w:name w:val="批注主题 Char"/>
    <w:basedOn w:val="26"/>
    <w:link w:val="12"/>
    <w:semiHidden/>
    <w:qFormat/>
    <w:uiPriority w:val="99"/>
    <w:rPr>
      <w:b/>
      <w:bCs/>
    </w:rPr>
  </w:style>
  <w:style w:type="paragraph" w:styleId="28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224</Words>
  <Characters>1279</Characters>
  <Lines>10</Lines>
  <Paragraphs>2</Paragraphs>
  <TotalTime>4</TotalTime>
  <ScaleCrop>false</ScaleCrop>
  <LinksUpToDate>false</LinksUpToDate>
  <CharactersWithSpaces>1501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2024-04-27T11:22:00Z</dcterms:created>
  <dc:creator>谢广觉</dc:creator>
  <cp:lastModifiedBy>ahsjyt</cp:lastModifiedBy>
  <cp:lastPrinted>2024-04-27T10:00:00Z</cp:lastPrinted>
  <dcterms:modified xsi:type="dcterms:W3CDTF">2024-04-28T15:16:43Z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F9FDF660E4F947C0A01968B3B20F6BC3_12</vt:lpwstr>
  </property>
</Properties>
</file>